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864B" w14:textId="1F7E9C2E" w:rsidR="00FB47DA" w:rsidRPr="00FB47DA" w:rsidRDefault="00FB47DA" w:rsidP="00FB47DA">
      <w:pPr>
        <w:spacing w:before="300" w:after="0"/>
        <w:ind w:firstLine="15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noProof/>
        </w:rPr>
        <w:drawing>
          <wp:inline distT="0" distB="0" distL="0" distR="0" wp14:anchorId="722A8969" wp14:editId="5E593622">
            <wp:extent cx="51816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D378" w14:textId="77777777" w:rsidR="00FB47DA" w:rsidRPr="00FB47DA" w:rsidRDefault="00FB47DA" w:rsidP="00FB47DA">
      <w:pPr>
        <w:spacing w:after="0"/>
        <w:jc w:val="right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>Справа № </w:t>
      </w:r>
      <w:r w:rsidRPr="00FB47DA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>504/2617/23</w:t>
      </w:r>
    </w:p>
    <w:p w14:paraId="6C4F95D5" w14:textId="77777777" w:rsidR="00FB47DA" w:rsidRPr="00FB47DA" w:rsidRDefault="00FB47DA" w:rsidP="00FB47DA">
      <w:pPr>
        <w:spacing w:after="0"/>
        <w:jc w:val="right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Номер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r w:rsidRPr="00FB47DA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>3/504/1794/23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</w:p>
    <w:p w14:paraId="4433F44E" w14:textId="77777777" w:rsidR="00FB47DA" w:rsidRPr="00FB47DA" w:rsidRDefault="00FB47DA" w:rsidP="00FB47DA">
      <w:pPr>
        <w:spacing w:after="0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b/>
          <w:bCs/>
          <w:szCs w:val="28"/>
          <w:lang w:val="ru-RU" w:eastAsia="ru-RU"/>
        </w:rPr>
        <w:t>ПОСТАНОВА</w:t>
      </w:r>
    </w:p>
    <w:p w14:paraId="18302BC8" w14:textId="77777777" w:rsidR="00FB47DA" w:rsidRPr="00FB47DA" w:rsidRDefault="00FB47DA" w:rsidP="00FB47DA">
      <w:pPr>
        <w:spacing w:after="0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b/>
          <w:bCs/>
          <w:szCs w:val="28"/>
          <w:lang w:val="ru-RU" w:eastAsia="ru-RU"/>
        </w:rPr>
        <w:t>ІМЕНЕМ УКРАЇНИ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5321"/>
      </w:tblGrid>
      <w:tr w:rsidR="00FB47DA" w:rsidRPr="00FB47DA" w14:paraId="34BE43FE" w14:textId="77777777" w:rsidTr="00FB47DA">
        <w:trPr>
          <w:trHeight w:val="285"/>
        </w:trPr>
        <w:tc>
          <w:tcPr>
            <w:tcW w:w="4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C4A29" w14:textId="77777777" w:rsidR="00FB47DA" w:rsidRPr="00FB47DA" w:rsidRDefault="00FB47DA" w:rsidP="00FB47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47D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09.08.2023</w:t>
            </w:r>
          </w:p>
        </w:tc>
        <w:tc>
          <w:tcPr>
            <w:tcW w:w="5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5CAB4" w14:textId="77777777" w:rsidR="00FB47DA" w:rsidRPr="00FB47DA" w:rsidRDefault="00FB47DA" w:rsidP="00FB47D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FB47DA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смт.Доброслав</w:t>
            </w:r>
            <w:proofErr w:type="spellEnd"/>
            <w:proofErr w:type="gramEnd"/>
          </w:p>
        </w:tc>
      </w:tr>
    </w:tbl>
    <w:p w14:paraId="024330A2" w14:textId="77777777" w:rsidR="00FB47DA" w:rsidRPr="00FB47DA" w:rsidRDefault="00FB47DA" w:rsidP="00FB47DA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sz w:val="22"/>
          <w:lang w:val="ru-RU" w:eastAsia="ru-RU"/>
        </w:rPr>
        <w:br/>
      </w:r>
    </w:p>
    <w:p w14:paraId="66AD63A8" w14:textId="77777777" w:rsidR="00FB47DA" w:rsidRPr="00FB47DA" w:rsidRDefault="00FB47DA" w:rsidP="00FB47DA">
      <w:pPr>
        <w:spacing w:after="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>       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Суддя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Комінтернівського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районного суду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Жовтан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П.В.,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розглянувши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надійшли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СПД №1 ВП №4 ОРУП №2 ГУНП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притягнення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відносно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: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</w:p>
    <w:p w14:paraId="24D515B4" w14:textId="5B1F1049" w:rsidR="00FB47DA" w:rsidRPr="00FB47DA" w:rsidRDefault="00A508A9" w:rsidP="00FB47DA">
      <w:pPr>
        <w:spacing w:after="0"/>
        <w:ind w:left="369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b/>
          <w:bCs/>
          <w:sz w:val="24"/>
          <w:szCs w:val="24"/>
          <w:lang w:val="ru-RU" w:eastAsia="ru-RU"/>
        </w:rPr>
        <w:t>_____________________</w:t>
      </w:r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року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народження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громадянина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тимчасово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непрацюючого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проживаючого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адресою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eastAsia="Times New Roman" w:cs="Times New Roman"/>
          <w:sz w:val="24"/>
          <w:szCs w:val="24"/>
          <w:lang w:val="ru-RU" w:eastAsia="ru-RU"/>
        </w:rPr>
        <w:t>___________</w:t>
      </w:r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посвідка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постійне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ru-RU" w:eastAsia="ru-RU"/>
        </w:rPr>
        <w:t>_____</w:t>
      </w:r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видана </w:t>
      </w:r>
      <w:r>
        <w:rPr>
          <w:rFonts w:eastAsia="Times New Roman" w:cs="Times New Roman"/>
          <w:sz w:val="24"/>
          <w:szCs w:val="24"/>
          <w:lang w:val="ru-RU" w:eastAsia="ru-RU"/>
        </w:rPr>
        <w:t>______</w:t>
      </w:r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. органом 4801;</w:t>
      </w:r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br/>
      </w:r>
    </w:p>
    <w:p w14:paraId="1DAE5390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>за </w:t>
      </w:r>
      <w:hyperlink r:id="rId5" w:anchor="986434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ст.126 ч.5 Кодексу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України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про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адміністративні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правопорушення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, -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b/>
          <w:bCs/>
          <w:sz w:val="24"/>
          <w:szCs w:val="24"/>
          <w:lang w:val="ru-RU" w:eastAsia="ru-RU"/>
        </w:rPr>
        <w:br/>
      </w:r>
    </w:p>
    <w:p w14:paraId="43C8857E" w14:textId="77777777" w:rsidR="00FB47DA" w:rsidRPr="00FB47DA" w:rsidRDefault="00FB47DA" w:rsidP="00FB47DA">
      <w:pPr>
        <w:spacing w:after="0"/>
        <w:ind w:firstLine="705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b/>
          <w:bCs/>
          <w:sz w:val="24"/>
          <w:szCs w:val="24"/>
          <w:lang w:val="ru-RU" w:eastAsia="ru-RU"/>
        </w:rPr>
        <w:t>ВСТАНОВИВ: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b/>
          <w:bCs/>
          <w:sz w:val="24"/>
          <w:szCs w:val="24"/>
          <w:lang w:val="ru-RU" w:eastAsia="ru-RU"/>
        </w:rPr>
        <w:br/>
      </w:r>
    </w:p>
    <w:p w14:paraId="7EB605DE" w14:textId="61C7921A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bookmarkStart w:id="0" w:name="_Hlk189562601"/>
      <w:bookmarkStart w:id="1" w:name="_GoBack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03.06.2023р.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інспектором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РПП СПД №1 ВП №4 ОРУП №2 ГУНП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Федоровим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був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складений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серії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ААД №321391,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03.06.2023р. о 11:40 год.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адресою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область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район а/д Т1606, 34 км. «Одеса-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Южне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»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автомобілем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Volkswagen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Jetta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» н/з ВН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 xml:space="preserve"> 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РС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посвідкою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постійне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№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органом 4801,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яке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змінив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двох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місяців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Дане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вчинено повторно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року (постанова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22.04.2023р.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серії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ЕАС 68872476). Такими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діями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порушив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п.2.1 «а» «Правил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дорожнього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руху»,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затверджених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proofErr w:type="spellStart"/>
      <w:r w:rsidR="004858DF">
        <w:fldChar w:fldCharType="begin"/>
      </w:r>
      <w:r w:rsidR="004858DF">
        <w:instrText xml:space="preserve"> HYPERLINK "http://search.ligazakon.ua/l_doc2.nsf/link1/ed_2021_02_24/pravo1/KP011306.html?pravo=1" \o "Про Правила дорожнього руху; нормативно-правовий акт № 1306 від 10.10.2</w:instrText>
      </w:r>
      <w:r w:rsidR="004858DF">
        <w:instrText xml:space="preserve">001" </w:instrText>
      </w:r>
      <w:r w:rsidR="004858DF">
        <w:fldChar w:fldCharType="separate"/>
      </w:r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постановою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КМУ №1306 </w:t>
      </w:r>
      <w:proofErr w:type="spellStart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від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10.10.2001 року</w:t>
      </w:r>
      <w:r w:rsidR="004858DF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fldChar w:fldCharType="end"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передбачено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ч.5 </w:t>
      </w:r>
      <w:hyperlink r:id="rId6" w:anchor="982849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ст.126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280C0059" w14:textId="2CF96B74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19.07.2023р. </w:t>
      </w:r>
      <w:proofErr w:type="gramStart"/>
      <w:r w:rsidRPr="00FB47DA">
        <w:rPr>
          <w:rFonts w:eastAsia="Times New Roman" w:cs="Times New Roman"/>
          <w:sz w:val="24"/>
          <w:szCs w:val="24"/>
          <w:lang w:val="ru-RU" w:eastAsia="ru-RU"/>
        </w:rPr>
        <w:t>до суду</w:t>
      </w:r>
      <w:proofErr w:type="gram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надійшли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заперечення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протокол,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подані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представником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– адвокатом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Бєловою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Р.В.,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остання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ім`я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серії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RB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01.11.2017 року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Police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of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RA B001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записи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ньому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продубльовано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літерами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латинського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алфавіту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пред`явив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яке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дійсним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Тобто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у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ООН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встановлено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правила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lastRenderedPageBreak/>
        <w:t>документів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 Будь-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щодо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недійсності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вказаного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позбавлення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країн-учасників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містять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Сам по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собі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винуватості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Крім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того,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залучення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протоколу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містять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bookmarkEnd w:id="0"/>
    <w:bookmarkEnd w:id="1"/>
    <w:p w14:paraId="6F7622FB" w14:textId="749E1D2D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судове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засідання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09.08.2023р.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його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представник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-адвокат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Бєлова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Р.В., будучи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належним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чином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повідомленими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з’явилися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причину неявки суду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повідомили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2228F06B" w14:textId="2F86421B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За таких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суд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вважає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можливим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розглянути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справу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відсутності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його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представника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підставі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179C0ED1" w14:textId="4B2C83AB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Дослідивши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суд приходить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висновку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те,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необхідно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закрити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зв`язку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відсутністю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діях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складу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наступних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підстав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58F12883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 </w:t>
      </w:r>
      <w:hyperlink r:id="rId7" w:anchor="458301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ст.1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, 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завданням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hyperlink r:id="rId8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Кодексу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України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про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адміністративні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правопорушення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 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охорона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 і свобод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власності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конституційного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ладу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прав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законних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інтересів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підприємств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установ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організацій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встановленого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правопорядку,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зміцнення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законності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запобігання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виховання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дусі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точного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неухильного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додержання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proofErr w:type="spellStart"/>
      <w:r w:rsidR="004858DF">
        <w:fldChar w:fldCharType="begin"/>
      </w:r>
      <w:r w:rsidR="004858DF">
        <w:instrText xml:space="preserve"> HYPERLINK "http://search.ligazakon.ua/l_doc2.nsf/link1/ed_2019_09_03/pravo1/Z960254K.html?pravo=1" \o "КОНСТИТУЦІЯ УКРАЇНИ; нор</w:instrText>
      </w:r>
      <w:r w:rsidR="004858DF">
        <w:instrText xml:space="preserve">мативно-правовий акт № 254к/96-ВР від 28.06.1996" </w:instrText>
      </w:r>
      <w:r w:rsidR="004858DF">
        <w:fldChar w:fldCharType="separate"/>
      </w:r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Конституції</w:t>
      </w:r>
      <w:proofErr w:type="spellEnd"/>
      <w:r w:rsidR="004858DF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fldChar w:fldCharType="end"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 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законів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поваги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прав,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честі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гідності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до правил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співжиття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сумлінного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своїх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обов`язків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перед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суспільством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36AC1975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hyperlink r:id="rId9" w:anchor="7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ст.9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, 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протиправна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умисна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необережна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бездіяльність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посягає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громадський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порядок,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власність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права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свободи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встановлений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порядок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за яку законом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передбачено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3597E9D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ч.1 </w:t>
      </w:r>
      <w:hyperlink r:id="rId10" w:anchor="34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ст.7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, 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ніхто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підданий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заходу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зв’язку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інакше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як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підставах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в порядку,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встановлених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законом.</w:t>
      </w:r>
    </w:p>
    <w:p w14:paraId="1B5B1019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змістом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hyperlink r:id="rId11" w:anchor="2797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ст.245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, </w:t>
        </w:r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 суд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зобов'язаний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всебічно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об'єктивно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з'ясувати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вирішити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точній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законом.</w:t>
      </w:r>
    </w:p>
    <w:p w14:paraId="0F85585D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hyperlink r:id="rId12" w:anchor="3064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ст.280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,</w:t>
        </w:r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 суд при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розгляді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зобов'язаний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з'ясувати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було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вчинено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дана особа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його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вчиненні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підлягає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вона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також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значення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правильного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вирішення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99BB3FE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Суд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протоколу -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процесуальні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суб'єкта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владних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повноважень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спрямовані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фіксацію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та, в силу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положень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статті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251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КУпАП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є предметом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оцінки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суду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вчинення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такого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розгляді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притягнення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правомірності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протоколу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без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аналізу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притягнення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сукупності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не дозволить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ефективно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захистити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відновити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порушене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право.</w:t>
      </w:r>
    </w:p>
    <w:p w14:paraId="3554C056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Таким чином, при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розгляді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одного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лише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факту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протоколу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достатньо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винуватою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вчиненні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F636B67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Протокол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є документом,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офіційно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засвідчує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подію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ст. 251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КУпАП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є одними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джерел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основі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ґрунтується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всебічне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об`єктивне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з`ясування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правильне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вирішення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741BFED2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протокол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сам по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собі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без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підтвердження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належними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допустимими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безумовним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беззаперечним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доведення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вини особи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вчиненні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являє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собою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лише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початковий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правовий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висновок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щодо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певної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особи.</w:t>
      </w:r>
    </w:p>
    <w:p w14:paraId="710BA52A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lastRenderedPageBreak/>
        <w:t xml:space="preserve">При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цьому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суд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ст.251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КУпАП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обов`язок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щодо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збирання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покладається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осіб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уповноважених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протоколів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визначених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статтею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255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цього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Кодексу.</w:t>
      </w:r>
    </w:p>
    <w:p w14:paraId="66CC253B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Так,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пункту 30 «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Положення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порядок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допуску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» особи,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тимчасово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перебувають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1968 року, записи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виконані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продубльовані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літерами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латинського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алфавіту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разі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1968 року, записи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виконані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продубльовані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літерами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латинського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алфавіту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40BD34B5" w14:textId="2A31BF86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ім`я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серії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RB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 xml:space="preserve">__________, </w:t>
      </w:r>
      <w:proofErr w:type="spellStart"/>
      <w:r w:rsidR="00A508A9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01.11.2017 року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Police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of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RA B001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записи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ньому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продубльовано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літерами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латинського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алфавіту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пред`явив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яке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дійсним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Сам по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собі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відеозапис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нагрудної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камери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винуватості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особи.</w:t>
      </w:r>
    </w:p>
    <w:p w14:paraId="359BC94A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 </w:t>
      </w:r>
      <w:hyperlink r:id="rId13" w:anchor="605310" w:tooltip="Про дорожній рух; нормативно-правовий акт № 3353-XII від 30.06.1993, ВР України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 15 ЗУ «Про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дорожній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рух»</w:t>
        </w:r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кожний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досяг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визначеного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Законом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медичних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протипоказань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пройшов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курс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програмами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установленому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порядку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отримати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3485E4F0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Право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підтверджується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установленим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терміном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Порядок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обміну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встановлення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терміну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таких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визначається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Кабінетом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FACA8DA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Разом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частиною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 ст.</w:t>
      </w:r>
      <w:hyperlink r:id="rId14" w:anchor="987792" w:tooltip="Кодекс України про адміністративні правопорушення; нормативно-правовий акт № 8073-X від 07.12.1984, ВР УРСР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126 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передбачено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особою, яка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таким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6DD6689E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ч. 5 </w:t>
      </w:r>
      <w:hyperlink r:id="rId15" w:anchor="987792" w:tooltip="Кодекс України про адміністративні правопорушення; нормативно-правовий акт № 8073-X від 07.12.1984, ВР УРСР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 126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передбачена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повторне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року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вчинення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порушень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частинами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другою - четвертою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цієї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статті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557862CB" w14:textId="77777777" w:rsidR="00FB47DA" w:rsidRPr="00FB47DA" w:rsidRDefault="004858DF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hyperlink r:id="rId16" w:tooltip="Про ратифікацію Конвенції про шляховий рух; нормативно-правовий акт № 2614-VIII від 25.04.1974, ПВР УРСР" w:history="1"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Указом </w:t>
        </w:r>
        <w:proofErr w:type="spellStart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Президії</w:t>
        </w:r>
        <w:proofErr w:type="spellEnd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 </w:t>
        </w:r>
        <w:proofErr w:type="spellStart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Верховної</w:t>
        </w:r>
        <w:proofErr w:type="spellEnd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Ради ПВР УРСР «Про </w:t>
        </w:r>
        <w:proofErr w:type="spellStart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ратифікацію</w:t>
        </w:r>
        <w:proofErr w:type="spellEnd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 </w:t>
        </w:r>
        <w:proofErr w:type="spellStart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Конвенції</w:t>
        </w:r>
        <w:proofErr w:type="spellEnd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про </w:t>
        </w:r>
        <w:proofErr w:type="spellStart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шляховий</w:t>
        </w:r>
        <w:proofErr w:type="spellEnd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рух» № 2614-VIII </w:t>
        </w:r>
        <w:proofErr w:type="spellStart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від</w:t>
        </w:r>
        <w:proofErr w:type="spellEnd"/>
        <w:r w:rsidR="00FB47DA"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25.04.1974</w:t>
        </w:r>
      </w:hyperlink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зі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змінами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доповненнями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внесеними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Європейською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угодою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від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01.05.1971, у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редакції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від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26.03.2006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було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ратифіковано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Конвенцію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(</w:t>
      </w:r>
      <w:proofErr w:type="spellStart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Відень</w:t>
      </w:r>
      <w:proofErr w:type="spellEnd"/>
      <w:r w:rsidR="00FB47DA" w:rsidRPr="00FB47DA">
        <w:rPr>
          <w:rFonts w:eastAsia="Times New Roman" w:cs="Times New Roman"/>
          <w:sz w:val="24"/>
          <w:szCs w:val="24"/>
          <w:lang w:val="ru-RU" w:eastAsia="ru-RU"/>
        </w:rPr>
        <w:t>, 08.11.1968).</w:t>
      </w:r>
    </w:p>
    <w:p w14:paraId="0672E715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Частиною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 ст. 41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встановлено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договірні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будуть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визнавати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будь-яке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складене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складене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такій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супроводжуване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завіреним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перекладом; будь-яке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приписам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6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будь-яке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приписам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7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дійсними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своїй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автомобілем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умови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вказане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дійсним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договірною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стороною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одним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територіальних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підрозділів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об`єднанням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уповноваженим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цієї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договірної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одним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територіальних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підрозділів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117C23C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пункту 30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Положення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порядок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допуску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затвердженого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proofErr w:type="spellStart"/>
      <w:r w:rsidR="004858DF">
        <w:fldChar w:fldCharType="begin"/>
      </w:r>
      <w:r w:rsidR="004858DF">
        <w:instrText xml:space="preserve"> HYPERLINK "http://search.ligazakon.ua/l_doc2.nsf/link1/ed_2023_03_28/pravo1/KMP93340.html?pravo=1" \o "Про затвердження Положення про порядок видачі посвідчень водія та допуску громадян до керування транспортними засобами; нормативно-правовий акт № 340 ві</w:instrText>
      </w:r>
      <w:r w:rsidR="004858DF">
        <w:instrText xml:space="preserve">д 08.05.1993, КМ України" </w:instrText>
      </w:r>
      <w:r w:rsidR="004858DF">
        <w:fldChar w:fldCharType="separate"/>
      </w:r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постановою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Кабінету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Міністрів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від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8 </w:t>
      </w:r>
      <w:proofErr w:type="spellStart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>травня</w:t>
      </w:r>
      <w:proofErr w:type="spellEnd"/>
      <w:r w:rsidRPr="00FB47DA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t xml:space="preserve"> 1993 р. № 340</w:t>
      </w:r>
      <w:r w:rsidR="004858DF">
        <w:rPr>
          <w:rFonts w:eastAsia="Times New Roman" w:cs="Times New Roman"/>
          <w:color w:val="0000FF"/>
          <w:sz w:val="24"/>
          <w:szCs w:val="24"/>
          <w:u w:val="single"/>
          <w:lang w:val="ru-RU" w:eastAsia="ru-RU"/>
        </w:rPr>
        <w:fldChar w:fldCharType="end"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особи,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тимчасово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перебувають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1968 року, записи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виконані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продубльовані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літерами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латинського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алфавіту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разі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lastRenderedPageBreak/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1968 року, записи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виконані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продубльовані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літерами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латинського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алфавіту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78334B8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Зазначені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установленому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Положенням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порядку.</w:t>
      </w:r>
    </w:p>
    <w:p w14:paraId="4F8A1DCF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Особам,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тимчасово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перебувають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обмін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також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замість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утраченого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зв`язку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крадіжкою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стихійним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лихом,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непередбачуваними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обставинами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проводиться.</w:t>
      </w:r>
    </w:p>
    <w:p w14:paraId="00A65E90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належить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особі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переїжджає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постійне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дійсне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60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днів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органами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підрозділами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ДМС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документів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постійне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після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цього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підлягає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обміну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Обмін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таких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проводиться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після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проходження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особою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медичного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огляду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теоретичного і практичного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іспитів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(за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винятком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випадків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визначених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пунктом 32цього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Положення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).</w:t>
      </w:r>
    </w:p>
    <w:p w14:paraId="098679B5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разі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двох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більше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право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теоретичний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практичний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іспити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складаються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вищою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категорією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зазначених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такому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6F7BB7F" w14:textId="2149CE1B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</w:t>
      </w:r>
      <w:proofErr w:type="gramStart"/>
      <w:r w:rsidR="00A508A9">
        <w:rPr>
          <w:rFonts w:eastAsia="Times New Roman" w:cs="Times New Roman"/>
          <w:sz w:val="24"/>
          <w:szCs w:val="24"/>
          <w:lang w:val="ru-RU" w:eastAsia="ru-RU"/>
        </w:rPr>
        <w:t>_,_</w:t>
      </w:r>
      <w:proofErr w:type="gramEnd"/>
      <w:r w:rsidR="00A508A9">
        <w:rPr>
          <w:rFonts w:eastAsia="Times New Roman" w:cs="Times New Roman"/>
          <w:sz w:val="24"/>
          <w:szCs w:val="24"/>
          <w:lang w:val="ru-RU" w:eastAsia="ru-RU"/>
        </w:rPr>
        <w:t>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року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народження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перебуває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підставі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посвідки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тимчасове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№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20.08.2021 року, строк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18.08.2031 року.</w:t>
      </w:r>
    </w:p>
    <w:p w14:paraId="68E0B297" w14:textId="0E2AFA0B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ім`я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серії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RB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01.11.2017 року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Police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of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RA B001,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дійсне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01.11.2027 року,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FB47DA">
        <w:rPr>
          <w:rFonts w:eastAsia="Times New Roman" w:cs="Times New Roman"/>
          <w:sz w:val="24"/>
          <w:szCs w:val="24"/>
          <w:lang w:val="ru-RU" w:eastAsia="ru-RU"/>
        </w:rPr>
        <w:t>В,С.</w:t>
      </w:r>
      <w:proofErr w:type="gramEnd"/>
    </w:p>
    <w:p w14:paraId="0F303CF0" w14:textId="5FFAC791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Таким чином,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р.н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отримував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країні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громадянство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489E7889" w14:textId="7BE1F6FA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Отже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у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наявне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ООН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відбулася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1949 та 1968 року,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встановили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правила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міжнародних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документів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2830633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>Будь-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щодо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недійсності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вказаного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позбавлення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країн-учасників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містять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7791919D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ч. 1, 2 ст. 41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(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1968),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кожен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автомобіля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Договірні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будуть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визнавати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: 1) будь-яке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національне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Додатка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6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цієї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268C31FE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ч. 4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Додатка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6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дорожній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рух (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Відень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1968),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обов`язковому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порядку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зазначаються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перераховані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нижче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відомості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: 1)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2)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ім`я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по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заначено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розділі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3) дата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народження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розділі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4)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5) орган,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6) дата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7) дата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закінчення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8) номер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9)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і/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штамп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печатку органу,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10)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; 11)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транспортних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засобів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поширюється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дат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закінчення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кожної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Крім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того,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водійського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повинна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додаватися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фотографія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6B66B4B6" w14:textId="6F0A3E8B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Враховуючи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вищевикладене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суд приходить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висновку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недоведеність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громадянином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–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пп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 «а» </w:t>
      </w:r>
      <w:hyperlink r:id="rId17" w:anchor="103" w:tooltip="Про Правила дорожнього руху; нормативно-правовий акт № 1306 від 10.10.2001, КМ України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п. 2.1 Правил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дорожнього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руху</w:t>
        </w:r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оскільки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останнім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поліцейських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було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пред`явлено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чинне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5E2FA958" w14:textId="1D319A05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Крім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того, з протоколу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посвідки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тимчасове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вбачається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громадянином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Вірменії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65807F4A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п. 3.7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3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вказаної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Інструкції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разі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коли особа, яка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притягається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володіє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тільки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іноземною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уповноважена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посадова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призначає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зобов`язаний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з`явитися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зробити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повно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й 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lastRenderedPageBreak/>
        <w:t xml:space="preserve">точно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доручений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йому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переклад.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Перекладачем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бути особа, яка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вільно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володіє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знання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необхідне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усного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або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письмового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перекладу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однієї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також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особа, яка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володіє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технікою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спілкування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глухими,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німими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глухонімими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також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залучені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особи,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відомості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Порядку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ведення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Державною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міграційною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службою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Довідково-інформаційного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реєстру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затвердженого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наказом,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зареєстрованого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Міністерстві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юстиції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22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травня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2013 року за № 801/23333 (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далі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- Порядок), унесено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Довідково-інформаційного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реєстру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. Доступ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посадових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осіб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Держприкордонслужби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відомостей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цього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реєстру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надається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ІV Порядку за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письмовим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зверненням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Держприкордонслужби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DA0306C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Тобто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особа яка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притягається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 знати,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вчинення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якого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інкримінують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користуватись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рідною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мовою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пояснення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користуватись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послугами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556E6059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Даних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залучення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перекладача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складання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протоколу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містять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6730A41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Основними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засадами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судочинства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визначеними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hyperlink r:id="rId18" w:anchor="536" w:tooltip="КОНСТИТУЦІЯ УКРАЇНИ; нормативно-правовий акт № 254к/96-ВР від 28.06.1996, ВР України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ст.129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Конституції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України</w:t>
        </w:r>
        <w:proofErr w:type="spellEnd"/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є,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крім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змагальність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свобода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наданні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ними суду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своїх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доказів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доведенні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перед судом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переконливості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065D23E0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ст.6 «Право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справедливий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суд»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Конвенції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захист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людини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основоположних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свобод,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кожен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право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справедливий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публічний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розгляд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його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упродовж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розумного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незалежним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безстороннім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судом.</w:t>
      </w:r>
    </w:p>
    <w:p w14:paraId="3E360E0F" w14:textId="463BDCD0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За таких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суд приходить до однозначного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висновку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що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діях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508A9">
        <w:rPr>
          <w:rFonts w:eastAsia="Times New Roman" w:cs="Times New Roman"/>
          <w:sz w:val="24"/>
          <w:szCs w:val="24"/>
          <w:lang w:val="ru-RU" w:eastAsia="ru-RU"/>
        </w:rPr>
        <w:t>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відсутні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подія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склад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передбаченого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ч.5 ст.126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КУпАП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зв`язку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чим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вимог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п.1 ч.1 </w:t>
      </w:r>
      <w:hyperlink r:id="rId19" w:anchor="2802" w:tooltip="Кодекс України про адміністративні правопорушення; нормативно-правовий акт № 8073-X від 07.12.1984" w:history="1"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ст.247 </w:t>
        </w:r>
        <w:proofErr w:type="spellStart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КУпАП</w:t>
        </w:r>
        <w:proofErr w:type="spellEnd"/>
        <w:r w:rsidRPr="00FB47DA">
          <w:rPr>
            <w:rFonts w:eastAsia="Times New Roman" w:cs="Times New Roman"/>
            <w:color w:val="0000FF"/>
            <w:sz w:val="24"/>
            <w:szCs w:val="24"/>
            <w:u w:val="single"/>
            <w:lang w:val="ru-RU" w:eastAsia="ru-RU"/>
          </w:rPr>
          <w:t> </w:t>
        </w:r>
      </w:hyperlink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підлягає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закриттю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3AC62C71" w14:textId="77777777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підставі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викладеного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керуючись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ст.62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Конституції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ст.ст.7, 10, 13, 221, 245, 247, 251, 252, 256, 266, 280, 283, 284, 285 Кодексу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суддя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–</w:t>
      </w:r>
    </w:p>
    <w:p w14:paraId="5E32459B" w14:textId="77777777" w:rsidR="00A508A9" w:rsidRDefault="00FB47DA" w:rsidP="00FB47DA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b/>
          <w:bCs/>
          <w:sz w:val="24"/>
          <w:szCs w:val="24"/>
          <w:lang w:val="ru-RU" w:eastAsia="ru-RU"/>
        </w:rPr>
        <w:t>П О С Т А Н О В И В:</w:t>
      </w:r>
    </w:p>
    <w:p w14:paraId="5FA3C078" w14:textId="63AB0524" w:rsidR="00FB47DA" w:rsidRPr="00FB47DA" w:rsidRDefault="00FB47DA" w:rsidP="00FB47DA">
      <w:pPr>
        <w:spacing w:after="0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14:paraId="4E026D41" w14:textId="77777777" w:rsidR="00A508A9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за ч.5 ст.126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КУпАП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відносно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 </w:t>
      </w:r>
      <w:r w:rsidR="00A508A9">
        <w:rPr>
          <w:rFonts w:eastAsia="Times New Roman" w:cs="Times New Roman"/>
          <w:b/>
          <w:bCs/>
          <w:sz w:val="24"/>
          <w:szCs w:val="24"/>
          <w:lang w:val="ru-RU" w:eastAsia="ru-RU"/>
        </w:rPr>
        <w:t>_________________________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t>– закрит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зв’язку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відсутністю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його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діях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події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складу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зазначеного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адміністративного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правопорушення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>.</w:t>
      </w:r>
    </w:p>
    <w:p w14:paraId="281B9822" w14:textId="35135EF4" w:rsidR="00FB47DA" w:rsidRPr="00FB47DA" w:rsidRDefault="00FB47DA" w:rsidP="00FB47DA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14:paraId="45A81057" w14:textId="77777777" w:rsidR="00FB47DA" w:rsidRPr="00FB47DA" w:rsidRDefault="00FB47DA" w:rsidP="00FB47DA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оскаржена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апеляційному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порядку до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апеляційного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суду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Одеської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через суд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першої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інстанції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подачі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апеляційної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скарги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десяти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днів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з дня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її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винесення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та на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неї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може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бути внесено </w:t>
      </w:r>
      <w:proofErr w:type="spellStart"/>
      <w:r w:rsidRPr="00FB47DA">
        <w:rPr>
          <w:rFonts w:eastAsia="Times New Roman" w:cs="Times New Roman"/>
          <w:sz w:val="24"/>
          <w:szCs w:val="24"/>
          <w:lang w:val="ru-RU" w:eastAsia="ru-RU"/>
        </w:rPr>
        <w:t>подання</w:t>
      </w:r>
      <w:proofErr w:type="spellEnd"/>
      <w:r w:rsidRPr="00FB47DA">
        <w:rPr>
          <w:rFonts w:eastAsia="Times New Roman" w:cs="Times New Roman"/>
          <w:sz w:val="24"/>
          <w:szCs w:val="24"/>
          <w:lang w:val="ru-RU" w:eastAsia="ru-RU"/>
        </w:rPr>
        <w:t xml:space="preserve"> прокурора у той же строк.</w:t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ascii="Calibri" w:eastAsia="Times New Roman" w:hAnsi="Calibri" w:cs="Calibri"/>
          <w:sz w:val="22"/>
          <w:lang w:val="ru-RU" w:eastAsia="ru-RU"/>
        </w:rPr>
        <w:br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sz w:val="22"/>
          <w:lang w:val="ru-RU" w:eastAsia="ru-RU"/>
        </w:rPr>
        <w:br/>
      </w:r>
      <w:r w:rsidRPr="00FB47DA">
        <w:rPr>
          <w:rFonts w:eastAsia="Times New Roman" w:cs="Times New Roman"/>
          <w:sz w:val="24"/>
          <w:szCs w:val="24"/>
          <w:lang w:val="ru-RU" w:eastAsia="ru-RU"/>
        </w:rPr>
        <w:br/>
      </w:r>
      <w:r w:rsidRPr="00FB47DA">
        <w:rPr>
          <w:rFonts w:eastAsia="Times New Roman" w:cs="Times New Roman"/>
          <w:sz w:val="22"/>
          <w:lang w:val="ru-RU" w:eastAsia="ru-RU"/>
        </w:rPr>
        <w:br/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5385"/>
      </w:tblGrid>
      <w:tr w:rsidR="00FB47DA" w:rsidRPr="00FB47DA" w14:paraId="33F7409B" w14:textId="77777777" w:rsidTr="00FB47DA">
        <w:tc>
          <w:tcPr>
            <w:tcW w:w="3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7B817" w14:textId="77777777" w:rsidR="00FB47DA" w:rsidRPr="00FB47DA" w:rsidRDefault="00FB47DA" w:rsidP="00FB47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B47DA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Суддя</w:t>
            </w:r>
            <w:proofErr w:type="spellEnd"/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E2612" w14:textId="77777777" w:rsidR="00FB47DA" w:rsidRPr="00FB47DA" w:rsidRDefault="00FB47DA" w:rsidP="00FB47D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47D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П.</w:t>
            </w:r>
            <w:r w:rsidRPr="00FB47DA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FB47D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В.</w:t>
            </w:r>
            <w:r w:rsidRPr="00FB47DA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FB47D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Жовтан</w:t>
            </w:r>
            <w:proofErr w:type="spellEnd"/>
          </w:p>
        </w:tc>
      </w:tr>
    </w:tbl>
    <w:p w14:paraId="4E4B936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BF"/>
    <w:rsid w:val="004858DF"/>
    <w:rsid w:val="006218BF"/>
    <w:rsid w:val="006C0B77"/>
    <w:rsid w:val="008242FF"/>
    <w:rsid w:val="00870751"/>
    <w:rsid w:val="00922C48"/>
    <w:rsid w:val="00A508A9"/>
    <w:rsid w:val="00B915B7"/>
    <w:rsid w:val="00EA59DF"/>
    <w:rsid w:val="00EE4070"/>
    <w:rsid w:val="00F12C76"/>
    <w:rsid w:val="00F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FAAC"/>
  <w15:chartTrackingRefBased/>
  <w15:docId w15:val="{4BD8C2E5-6D25-462E-98F6-35D37764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FB47DA"/>
  </w:style>
  <w:style w:type="character" w:customStyle="1" w:styleId="rvts12">
    <w:name w:val="rvts12"/>
    <w:basedOn w:val="a0"/>
    <w:rsid w:val="00FB47DA"/>
  </w:style>
  <w:style w:type="character" w:customStyle="1" w:styleId="rvts14">
    <w:name w:val="rvts14"/>
    <w:basedOn w:val="a0"/>
    <w:rsid w:val="00FB47DA"/>
  </w:style>
  <w:style w:type="paragraph" w:customStyle="1" w:styleId="rvps1">
    <w:name w:val="rvps1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6">
    <w:name w:val="rvts16"/>
    <w:basedOn w:val="a0"/>
    <w:rsid w:val="00FB47DA"/>
  </w:style>
  <w:style w:type="paragraph" w:styleId="a3">
    <w:name w:val="Normal (Web)"/>
    <w:basedOn w:val="a"/>
    <w:uiPriority w:val="99"/>
    <w:semiHidden/>
    <w:unhideWhenUsed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8">
    <w:name w:val="rvts18"/>
    <w:basedOn w:val="a0"/>
    <w:rsid w:val="00FB47DA"/>
  </w:style>
  <w:style w:type="character" w:customStyle="1" w:styleId="rvts27">
    <w:name w:val="rvts27"/>
    <w:basedOn w:val="a0"/>
    <w:rsid w:val="00FB47DA"/>
  </w:style>
  <w:style w:type="paragraph" w:customStyle="1" w:styleId="rvps6">
    <w:name w:val="rvps6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8">
    <w:name w:val="rvts28"/>
    <w:basedOn w:val="a0"/>
    <w:rsid w:val="00FB47DA"/>
  </w:style>
  <w:style w:type="paragraph" w:customStyle="1" w:styleId="rvps9">
    <w:name w:val="rvps9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B47DA"/>
    <w:rPr>
      <w:color w:val="0000FF"/>
      <w:u w:val="single"/>
    </w:rPr>
  </w:style>
  <w:style w:type="paragraph" w:customStyle="1" w:styleId="rvps10">
    <w:name w:val="rvps10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1">
    <w:name w:val="rvps11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3">
    <w:name w:val="rvps13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FB47D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33">
    <w:name w:val="rvts33"/>
    <w:basedOn w:val="a0"/>
    <w:rsid w:val="00FB47DA"/>
  </w:style>
  <w:style w:type="character" w:customStyle="1" w:styleId="rvts34">
    <w:name w:val="rvts34"/>
    <w:basedOn w:val="a0"/>
    <w:rsid w:val="00FB47DA"/>
  </w:style>
  <w:style w:type="character" w:customStyle="1" w:styleId="rvts36">
    <w:name w:val="rvts36"/>
    <w:basedOn w:val="a0"/>
    <w:rsid w:val="00FB47DA"/>
  </w:style>
  <w:style w:type="character" w:customStyle="1" w:styleId="rvts37">
    <w:name w:val="rvts37"/>
    <w:basedOn w:val="a0"/>
    <w:rsid w:val="00FB47DA"/>
  </w:style>
  <w:style w:type="character" w:customStyle="1" w:styleId="rvts39">
    <w:name w:val="rvts39"/>
    <w:basedOn w:val="a0"/>
    <w:rsid w:val="00FB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21_01_01/pravo1/KD0005.html?pravo=1" TargetMode="External"/><Relationship Id="rId13" Type="http://schemas.openxmlformats.org/officeDocument/2006/relationships/hyperlink" Target="http://search.ligazakon.ua/l_doc2.nsf/link1/an_605310/ed_2023_04_29/pravo1/T335300.html?pravo=1" TargetMode="External"/><Relationship Id="rId18" Type="http://schemas.openxmlformats.org/officeDocument/2006/relationships/hyperlink" Target="http://search.ligazakon.ua/l_doc2.nsf/link1/an_536/ed_2019_09_03/pravo1/Z960254K.html?pravo=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earch.ligazakon.ua/l_doc2.nsf/link1/an_458301/ed_2021_01_01/pravo1/KD0005.html?pravo=1" TargetMode="External"/><Relationship Id="rId12" Type="http://schemas.openxmlformats.org/officeDocument/2006/relationships/hyperlink" Target="http://search.ligazakon.ua/l_doc2.nsf/link1/an_3064/ed_2017_12_15/pravo1/KD0005.html?pravo=1" TargetMode="External"/><Relationship Id="rId17" Type="http://schemas.openxmlformats.org/officeDocument/2006/relationships/hyperlink" Target="http://search.ligazakon.ua/l_doc2.nsf/link1/an_103/ed_2022_12_09/pravo1/KP011306.html?prav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ed_1974_04_25/pravo1/UP742614.html?pravo=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982849/ed_2021_05_27/pravo1/KD0005.html?pravo=1" TargetMode="External"/><Relationship Id="rId11" Type="http://schemas.openxmlformats.org/officeDocument/2006/relationships/hyperlink" Target="http://search.ligazakon.ua/l_doc2.nsf/link1/an_2797/ed_2017_12_15/pravo1/KD0005.html?pravo=1" TargetMode="External"/><Relationship Id="rId5" Type="http://schemas.openxmlformats.org/officeDocument/2006/relationships/hyperlink" Target="http://search.ligazakon.ua/l_doc2.nsf/link1/an_986434/ed_2020_11_29/pravo1/KD0005.html?pravo=1" TargetMode="External"/><Relationship Id="rId15" Type="http://schemas.openxmlformats.org/officeDocument/2006/relationships/hyperlink" Target="http://search.ligazakon.ua/l_doc2.nsf/link1/an_987792/ed_2023_03_21/pravo1/KD0005.html?pravo=1" TargetMode="External"/><Relationship Id="rId10" Type="http://schemas.openxmlformats.org/officeDocument/2006/relationships/hyperlink" Target="http://search.ligazakon.ua/l_doc2.nsf/link1/an_34/ed_2018_02_06/pravo1/KD0005.html?pravo=1" TargetMode="External"/><Relationship Id="rId19" Type="http://schemas.openxmlformats.org/officeDocument/2006/relationships/hyperlink" Target="http://search.ligazakon.ua/l_doc2.nsf/link1/an_2802/ed_2021_01_01/pravo1/KD0005.html?pravo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arch.ligazakon.ua/l_doc2.nsf/link1/an_7/ed_2021_01_01/pravo1/KD0005.html?pravo=1" TargetMode="External"/><Relationship Id="rId14" Type="http://schemas.openxmlformats.org/officeDocument/2006/relationships/hyperlink" Target="http://search.ligazakon.ua/l_doc2.nsf/link1/an_987792/ed_2023_03_21/pravo1/KD0005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2024-12-11T10:29:00Z</dcterms:created>
  <dcterms:modified xsi:type="dcterms:W3CDTF">2025-02-04T10:32:00Z</dcterms:modified>
</cp:coreProperties>
</file>